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6"/>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（主管部门自评）</w:t>
      </w:r>
    </w:p>
    <w:p>
      <w:pPr>
        <w:pStyle w:val="6"/>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ascii="仿宋_GB2312" w:hAnsi="宋体"/>
          <w:lang w:val="zh-CN"/>
        </w:rPr>
      </w:pPr>
      <w:r>
        <w:rPr>
          <w:rFonts w:hint="eastAsia" w:ascii="仿宋_GB2312" w:hAnsi="宋体"/>
          <w:lang w:val="zh-CN"/>
        </w:rPr>
        <w:t>1．凡属峨边县户籍的城乡居民由民政局统一实施购买自然灾害公共责任险。</w:t>
      </w:r>
    </w:p>
    <w:p>
      <w:pPr>
        <w:adjustRightInd w:val="0"/>
        <w:snapToGrid w:val="0"/>
        <w:spacing w:line="600" w:lineRule="exact"/>
        <w:ind w:firstLine="720"/>
        <w:rPr>
          <w:rFonts w:hint="eastAsia" w:ascii="仿宋_GB2312" w:hAnsi="宋体"/>
          <w:lang w:val="zh-CN"/>
        </w:rPr>
      </w:pPr>
      <w:r>
        <w:rPr>
          <w:rFonts w:hint="eastAsia" w:ascii="仿宋_GB2312" w:hAnsi="宋体"/>
          <w:lang w:val="zh-CN"/>
        </w:rPr>
        <w:t>2．项目立项、资金申报的依据。</w:t>
      </w:r>
    </w:p>
    <w:p>
      <w:pPr>
        <w:adjustRightInd w:val="0"/>
        <w:snapToGrid w:val="0"/>
        <w:spacing w:line="600" w:lineRule="exact"/>
        <w:ind w:firstLine="720"/>
        <w:rPr>
          <w:rFonts w:hint="eastAsia" w:ascii="仿宋_GB2312" w:hAnsi="宋体"/>
          <w:lang w:val="zh-CN"/>
        </w:rPr>
      </w:pPr>
      <w:r>
        <w:rPr>
          <w:rFonts w:hint="eastAsia" w:ascii="仿宋_GB2312" w:hAnsi="宋体"/>
          <w:lang w:val="zh-CN"/>
        </w:rPr>
        <w:t>项目由县政府立项，进行招投标，具体由民政局负责实施。</w:t>
      </w:r>
      <w:bookmarkStart w:id="0" w:name="_GoBack"/>
      <w:bookmarkEnd w:id="0"/>
    </w:p>
    <w:p>
      <w:pPr>
        <w:adjustRightInd w:val="0"/>
        <w:snapToGrid w:val="0"/>
        <w:spacing w:line="600" w:lineRule="exact"/>
        <w:ind w:firstLine="720"/>
        <w:rPr>
          <w:rFonts w:ascii="仿宋_GB2312" w:hAnsi="宋体"/>
          <w:lang w:val="zh-CN"/>
        </w:rPr>
      </w:pPr>
      <w:r>
        <w:rPr>
          <w:rFonts w:hint="eastAsia" w:ascii="仿宋_GB2312" w:hAnsi="宋体"/>
          <w:lang w:val="zh-CN"/>
        </w:rPr>
        <w:t>3．资金纳入财政预算，由民政局负责实施。</w:t>
      </w:r>
    </w:p>
    <w:p>
      <w:pPr>
        <w:adjustRightInd w:val="0"/>
        <w:snapToGrid w:val="0"/>
        <w:spacing w:line="600" w:lineRule="exact"/>
        <w:ind w:firstLine="720"/>
        <w:rPr>
          <w:rFonts w:ascii="仿宋_GB2312" w:hAnsi="宋体"/>
          <w:lang w:val="zh-CN"/>
        </w:rPr>
      </w:pPr>
      <w:r>
        <w:rPr>
          <w:rFonts w:hint="eastAsia" w:ascii="仿宋_GB2312" w:hAnsi="宋体"/>
          <w:lang w:val="zh-CN"/>
        </w:rPr>
        <w:t>4．资金分配的原则及考虑因素。</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pPr>
        <w:adjustRightInd w:val="0"/>
        <w:snapToGrid w:val="0"/>
        <w:spacing w:line="600" w:lineRule="exact"/>
        <w:ind w:firstLine="720"/>
        <w:rPr>
          <w:rFonts w:hint="eastAsia" w:ascii="仿宋_GB2312" w:hAnsi="宋体"/>
          <w:lang w:val="zh-CN"/>
        </w:rPr>
      </w:pPr>
      <w:r>
        <w:rPr>
          <w:rFonts w:hint="eastAsia" w:ascii="仿宋_GB2312" w:hAnsi="宋体"/>
          <w:lang w:val="zh-CN"/>
        </w:rPr>
        <w:t>为峨边县户籍的城乡居民购买自然灾害公共险，自然灾害险种包话：雷击、暴风、暴雨、洪水、台风、泥石流、火灾等。</w:t>
      </w:r>
    </w:p>
    <w:p>
      <w:pPr>
        <w:adjustRightInd w:val="0"/>
        <w:snapToGrid w:val="0"/>
        <w:spacing w:line="600" w:lineRule="exact"/>
        <w:ind w:firstLine="720"/>
        <w:rPr>
          <w:rFonts w:ascii="仿宋_GB2312" w:hAnsi="宋体"/>
          <w:lang w:val="zh-CN"/>
        </w:rPr>
      </w:pPr>
      <w:r>
        <w:rPr>
          <w:rFonts w:hint="eastAsia" w:ascii="仿宋_GB2312" w:hAnsi="宋体"/>
          <w:lang w:val="zh-CN"/>
        </w:rPr>
        <w:t>2．项目已全部实施完成</w:t>
      </w:r>
    </w:p>
    <w:p>
      <w:pPr>
        <w:adjustRightInd w:val="0"/>
        <w:snapToGrid w:val="0"/>
        <w:spacing w:line="600" w:lineRule="exact"/>
        <w:ind w:firstLine="720"/>
        <w:rPr>
          <w:rFonts w:ascii="仿宋_GB2312" w:hAnsi="宋体"/>
          <w:lang w:val="zh-CN"/>
        </w:rPr>
      </w:pPr>
      <w:r>
        <w:rPr>
          <w:rFonts w:hint="eastAsia" w:ascii="仿宋_GB2312" w:hAnsi="宋体"/>
          <w:lang w:val="zh-CN"/>
        </w:rPr>
        <w:t>3．项目申报合理可实施。</w:t>
      </w: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ind w:left="0" w:firstLine="720"/>
        <w:textAlignment w:val="auto"/>
        <w:rPr>
          <w:rFonts w:hint="eastAsia" w:ascii="仿宋_GB2312" w:hAnsi="仿宋_GB2312" w:eastAsia="仿宋_GB2312" w:cs="仿宋_GB2312"/>
          <w:b w:val="0"/>
          <w:bCs w:val="0"/>
          <w:sz w:val="32"/>
          <w:szCs w:val="32"/>
        </w:rPr>
      </w:pPr>
      <w:r>
        <w:rPr>
          <w:rFonts w:hint="eastAsia" w:ascii="仿宋_GB2312" w:hAnsi="仿宋_GB2312" w:cs="仿宋_GB2312"/>
          <w:b w:val="0"/>
          <w:bCs w:val="0"/>
          <w:sz w:val="32"/>
          <w:szCs w:val="32"/>
          <w:lang w:eastAsia="zh-CN"/>
        </w:rPr>
        <w:t>由</w:t>
      </w:r>
      <w:r>
        <w:rPr>
          <w:rFonts w:hint="eastAsia" w:ascii="仿宋_GB2312" w:hAnsi="仿宋_GB2312" w:eastAsia="仿宋_GB2312" w:cs="仿宋_GB2312"/>
          <w:b w:val="0"/>
          <w:bCs w:val="0"/>
          <w:sz w:val="32"/>
          <w:szCs w:val="32"/>
          <w:lang w:eastAsia="zh-CN"/>
        </w:rPr>
        <w:t>县民政局</w:t>
      </w:r>
      <w:r>
        <w:rPr>
          <w:rFonts w:hint="eastAsia" w:ascii="仿宋_GB2312" w:hAnsi="仿宋_GB2312" w:cs="仿宋_GB2312"/>
          <w:b w:val="0"/>
          <w:bCs w:val="0"/>
          <w:sz w:val="32"/>
          <w:szCs w:val="32"/>
          <w:lang w:eastAsia="zh-CN"/>
        </w:rPr>
        <w:t>直接购买实施</w:t>
      </w:r>
      <w:r>
        <w:rPr>
          <w:rFonts w:hint="eastAsia" w:ascii="仿宋_GB2312" w:hAnsi="仿宋_GB2312" w:eastAsia="仿宋_GB2312" w:cs="仿宋_GB2312"/>
          <w:b w:val="0"/>
          <w:bCs w:val="0"/>
          <w:sz w:val="32"/>
          <w:szCs w:val="32"/>
          <w:lang w:eastAsia="zh-CN"/>
        </w:rPr>
        <w:t>，</w:t>
      </w:r>
      <w:r>
        <w:rPr>
          <w:rFonts w:hint="eastAsia" w:ascii="仿宋_GB2312" w:hAnsi="仿宋_GB2312" w:cs="仿宋_GB2312"/>
          <w:b w:val="0"/>
          <w:bCs w:val="0"/>
          <w:sz w:val="32"/>
          <w:szCs w:val="32"/>
          <w:lang w:eastAsia="zh-CN"/>
        </w:rPr>
        <w:t>通过</w:t>
      </w:r>
      <w:r>
        <w:rPr>
          <w:rFonts w:hint="eastAsia" w:ascii="仿宋_GB2312" w:hAnsi="仿宋_GB2312" w:eastAsia="仿宋_GB2312" w:cs="仿宋_GB2312"/>
          <w:b w:val="0"/>
          <w:bCs w:val="0"/>
          <w:sz w:val="32"/>
          <w:szCs w:val="32"/>
          <w:lang w:eastAsia="zh-CN"/>
        </w:rPr>
        <w:t>查看资料以及实地入户查看等形式对项目实施效果进行评估</w:t>
      </w:r>
      <w:r>
        <w:rPr>
          <w:rFonts w:hint="eastAsia" w:ascii="仿宋_GB2312" w:hAnsi="仿宋_GB2312" w:eastAsia="仿宋_GB2312" w:cs="仿宋_GB2312"/>
          <w:b w:val="0"/>
          <w:bCs w:val="0"/>
          <w:sz w:val="32"/>
          <w:szCs w:val="32"/>
        </w:rPr>
        <w:t>。</w:t>
      </w:r>
    </w:p>
    <w:p>
      <w:pPr>
        <w:adjustRightInd w:val="0"/>
        <w:snapToGrid w:val="0"/>
        <w:spacing w:line="600" w:lineRule="exact"/>
        <w:ind w:firstLine="720"/>
        <w:rPr>
          <w:rFonts w:hint="eastAsia" w:ascii="楷体_GB2312" w:hAnsi="宋体" w:eastAsia="楷体_GB2312"/>
          <w:b/>
          <w:lang w:val="zh-CN"/>
        </w:rPr>
      </w:pP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zh-CN"/>
        </w:rPr>
        <w:t>项目资金申报</w:t>
      </w:r>
      <w:r>
        <w:rPr>
          <w:rFonts w:hint="eastAsia" w:ascii="仿宋_GB2312" w:hAnsi="宋体"/>
          <w:lang w:val="en-US" w:eastAsia="zh-CN"/>
        </w:rPr>
        <w:t>44.69万元，批复44.69万元。</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hint="eastAsia" w:ascii="仿宋_GB2312" w:hAnsi="宋体"/>
          <w:lang w:val="zh-CN"/>
        </w:rPr>
      </w:pPr>
      <w:r>
        <w:rPr>
          <w:rFonts w:hint="eastAsia" w:ascii="楷体_GB2312" w:hAnsi="宋体" w:eastAsia="楷体_GB2312"/>
          <w:lang w:val="zh-CN"/>
        </w:rPr>
        <w:t>1．资金计划</w:t>
      </w:r>
      <w:r>
        <w:rPr>
          <w:rFonts w:hint="eastAsia" w:ascii="仿宋_GB2312" w:hAnsi="宋体"/>
          <w:lang w:val="zh-CN"/>
        </w:rPr>
        <w:t>。</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zh-CN"/>
        </w:rPr>
        <w:t>项目资金计划</w:t>
      </w:r>
      <w:r>
        <w:rPr>
          <w:rFonts w:hint="eastAsia" w:ascii="仿宋_GB2312" w:hAnsi="宋体"/>
          <w:lang w:val="en-US" w:eastAsia="zh-CN"/>
        </w:rPr>
        <w:t>44.69万，全部由县财政预算。</w:t>
      </w:r>
    </w:p>
    <w:p>
      <w:pPr>
        <w:numPr>
          <w:ilvl w:val="0"/>
          <w:numId w:val="1"/>
        </w:numPr>
        <w:adjustRightInd w:val="0"/>
        <w:snapToGrid w:val="0"/>
        <w:spacing w:line="600" w:lineRule="exact"/>
        <w:ind w:firstLine="720"/>
        <w:rPr>
          <w:rFonts w:hint="eastAsia" w:ascii="楷体_GB2312" w:hAnsi="宋体" w:eastAsia="楷体_GB2312"/>
          <w:lang w:val="zh-CN"/>
        </w:rPr>
      </w:pPr>
      <w:r>
        <w:rPr>
          <w:rFonts w:hint="eastAsia" w:ascii="楷体_GB2312" w:hAnsi="宋体" w:eastAsia="楷体_GB2312"/>
          <w:lang w:val="zh-CN"/>
        </w:rPr>
        <w:t>资金到位。</w:t>
      </w:r>
    </w:p>
    <w:p>
      <w:pPr>
        <w:numPr>
          <w:ilvl w:val="0"/>
          <w:numId w:val="0"/>
        </w:numPr>
        <w:adjustRightInd w:val="0"/>
        <w:snapToGrid w:val="0"/>
        <w:spacing w:line="600" w:lineRule="exact"/>
        <w:rPr>
          <w:rFonts w:hint="default" w:ascii="楷体_GB2312" w:hAnsi="宋体" w:eastAsia="楷体_GB2312"/>
          <w:lang w:val="en-US" w:eastAsia="zh-CN"/>
        </w:rPr>
      </w:pPr>
      <w:r>
        <w:rPr>
          <w:rFonts w:hint="eastAsia" w:ascii="楷体_GB2312" w:hAnsi="宋体" w:eastAsia="楷体_GB2312"/>
          <w:lang w:val="zh-CN"/>
        </w:rPr>
        <w:t>　　项目资金到位</w:t>
      </w:r>
      <w:r>
        <w:rPr>
          <w:rFonts w:hint="eastAsia" w:ascii="楷体_GB2312" w:hAnsi="宋体" w:eastAsia="楷体_GB2312"/>
          <w:lang w:val="en-US" w:eastAsia="zh-CN"/>
        </w:rPr>
        <w:t>44.69万元，全部为县级预算，资金到位率为100%。</w:t>
      </w:r>
    </w:p>
    <w:p>
      <w:pPr>
        <w:numPr>
          <w:ilvl w:val="0"/>
          <w:numId w:val="1"/>
        </w:numPr>
        <w:adjustRightInd w:val="0"/>
        <w:snapToGrid w:val="0"/>
        <w:spacing w:line="600" w:lineRule="exact"/>
        <w:ind w:left="0" w:leftChars="0" w:firstLine="720" w:firstLineChars="0"/>
        <w:rPr>
          <w:rFonts w:hint="eastAsia" w:ascii="楷体_GB2312" w:hAnsi="宋体" w:eastAsia="楷体_GB2312"/>
          <w:lang w:val="zh-CN"/>
        </w:rPr>
      </w:pPr>
      <w:r>
        <w:rPr>
          <w:rFonts w:hint="eastAsia" w:ascii="楷体_GB2312" w:hAnsi="宋体" w:eastAsia="楷体_GB2312"/>
          <w:lang w:val="zh-CN"/>
        </w:rPr>
        <w:t>资金使用。</w:t>
      </w:r>
    </w:p>
    <w:p>
      <w:pPr>
        <w:numPr>
          <w:ilvl w:val="0"/>
          <w:numId w:val="0"/>
        </w:numPr>
        <w:adjustRightInd w:val="0"/>
        <w:snapToGrid w:val="0"/>
        <w:spacing w:line="600" w:lineRule="exact"/>
        <w:ind w:left="720" w:leftChars="0"/>
        <w:rPr>
          <w:rFonts w:hint="default" w:ascii="仿宋_GB2312" w:hAnsi="宋体" w:eastAsia="仿宋_GB2312"/>
          <w:lang w:val="en-US" w:eastAsia="zh-CN"/>
        </w:rPr>
      </w:pPr>
      <w:r>
        <w:rPr>
          <w:rFonts w:hint="eastAsia" w:ascii="仿宋_GB2312" w:hAnsi="宋体"/>
          <w:lang w:val="zh-CN"/>
        </w:rPr>
        <w:t>项目于</w:t>
      </w:r>
      <w:r>
        <w:rPr>
          <w:rFonts w:hint="eastAsia" w:ascii="仿宋_GB2312" w:hAnsi="宋体"/>
          <w:lang w:val="en-US" w:eastAsia="zh-CN"/>
        </w:rPr>
        <w:t>2022年7月全部实施完成，资金支付44.69万元，支付率达100%。</w:t>
      </w:r>
    </w:p>
    <w:p>
      <w:pPr>
        <w:adjustRightInd w:val="0"/>
        <w:snapToGrid w:val="0"/>
        <w:spacing w:line="600" w:lineRule="exact"/>
        <w:ind w:firstLine="720"/>
        <w:rPr>
          <w:rFonts w:ascii="仿宋_GB2312" w:hAnsi="宋体"/>
          <w:lang w:val="zh-CN"/>
        </w:rPr>
      </w:pPr>
      <w:r>
        <w:rPr>
          <w:rFonts w:hint="eastAsia" w:ascii="黑体" w:hAnsi="宋体" w:eastAsia="黑体"/>
          <w:lang w:eastAsia="zh-CN"/>
        </w:rPr>
        <w:t>三</w:t>
      </w:r>
      <w:r>
        <w:rPr>
          <w:rFonts w:hint="eastAsia" w:ascii="黑体" w:hAnsi="宋体" w:eastAsia="黑体"/>
        </w:rPr>
        <w:t>、项目绩效情况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ascii="楷体_GB2312" w:hAnsi="宋体" w:eastAsia="楷体_GB2312"/>
          <w:b/>
          <w:lang w:val="zh-CN"/>
        </w:rPr>
      </w:pPr>
      <w:r>
        <w:rPr>
          <w:rFonts w:hint="eastAsia" w:ascii="仿宋_GB2312" w:hAnsi="宋体"/>
          <w:lang w:val="zh-CN"/>
        </w:rPr>
        <w:t>项目已全部实施完成，资金到位、支付率为</w:t>
      </w:r>
      <w:r>
        <w:rPr>
          <w:rFonts w:hint="eastAsia" w:ascii="仿宋_GB2312" w:hAnsi="宋体"/>
          <w:lang w:val="en-US" w:eastAsia="zh-CN"/>
        </w:rPr>
        <w:t>100%，自评为优</w:t>
      </w:r>
      <w:r>
        <w:rPr>
          <w:rFonts w:hint="eastAsia" w:ascii="仿宋_GB2312" w:hAnsi="宋体"/>
          <w:lang w:val="zh-CN"/>
        </w:rPr>
        <w:t>。</w:t>
      </w:r>
    </w:p>
    <w:p>
      <w:pPr>
        <w:numPr>
          <w:ilvl w:val="0"/>
          <w:numId w:val="2"/>
        </w:num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项目效益情况。</w:t>
      </w:r>
    </w:p>
    <w:p>
      <w:pPr>
        <w:numPr>
          <w:ilvl w:val="0"/>
          <w:numId w:val="0"/>
        </w:numPr>
        <w:adjustRightInd w:val="0"/>
        <w:snapToGrid w:val="0"/>
        <w:spacing w:line="600" w:lineRule="exact"/>
        <w:ind w:firstLine="652"/>
        <w:rPr>
          <w:rFonts w:hint="eastAsia" w:ascii="仿宋" w:hAnsi="仿宋" w:eastAsia="仿宋" w:cs="仿宋"/>
          <w:b w:val="0"/>
          <w:bCs/>
          <w:lang w:val="en-US" w:eastAsia="zh-CN"/>
        </w:rPr>
      </w:pPr>
      <w:r>
        <w:rPr>
          <w:rFonts w:hint="eastAsia" w:ascii="仿宋" w:hAnsi="仿宋" w:eastAsia="仿宋" w:cs="仿宋"/>
          <w:b w:val="0"/>
          <w:bCs/>
          <w:lang w:val="zh-CN"/>
        </w:rPr>
        <w:t>每人人身伤亡责任赔偿限额最高为</w:t>
      </w:r>
      <w:r>
        <w:rPr>
          <w:rFonts w:hint="eastAsia" w:ascii="仿宋" w:hAnsi="仿宋" w:eastAsia="仿宋" w:cs="仿宋"/>
          <w:b w:val="0"/>
          <w:bCs/>
          <w:lang w:val="en-US" w:eastAsia="zh-CN"/>
        </w:rPr>
        <w:t>15万元，造成人员残疾的，按人身保险残疾程度与保险给付比例给予赔偿。保险期限为一年，项目惠及全乡城乡居民。</w:t>
      </w:r>
    </w:p>
    <w:p>
      <w:pPr>
        <w:adjustRightInd w:val="0"/>
        <w:snapToGrid w:val="0"/>
        <w:spacing w:line="600" w:lineRule="exact"/>
        <w:ind w:firstLine="720"/>
        <w:rPr>
          <w:rFonts w:ascii="黑体" w:hAnsi="宋体" w:eastAsia="黑体"/>
          <w:b w:val="0"/>
          <w:bCs/>
        </w:rPr>
      </w:pPr>
      <w:r>
        <w:rPr>
          <w:rFonts w:hint="eastAsia" w:ascii="黑体" w:hAnsi="宋体" w:eastAsia="黑体"/>
          <w:b w:val="0"/>
          <w:bCs/>
        </w:rPr>
        <w:t>五、评价结论及建议</w:t>
      </w:r>
    </w:p>
    <w:p>
      <w:pPr>
        <w:adjustRightInd w:val="0"/>
        <w:snapToGrid w:val="0"/>
        <w:spacing w:line="600" w:lineRule="exact"/>
        <w:rPr>
          <w:rFonts w:hint="default" w:ascii="楷体_GB2312" w:hAnsi="宋体" w:eastAsia="楷体_GB2312"/>
          <w:b w:val="0"/>
          <w:bCs/>
          <w:lang w:val="en-US" w:eastAsia="zh-CN"/>
        </w:rPr>
      </w:pPr>
      <w:r>
        <w:rPr>
          <w:rFonts w:hint="eastAsia" w:ascii="楷体_GB2312" w:hAnsi="宋体" w:eastAsia="楷体_GB2312"/>
          <w:b w:val="0"/>
          <w:bCs/>
          <w:lang w:val="zh-CN"/>
        </w:rPr>
        <w:t>　　评价结论：项目自评为优，自评得分</w:t>
      </w:r>
      <w:r>
        <w:rPr>
          <w:rFonts w:hint="eastAsia" w:ascii="楷体_GB2312" w:hAnsi="宋体" w:eastAsia="楷体_GB2312"/>
          <w:b w:val="0"/>
          <w:bCs/>
          <w:lang w:val="en-US" w:eastAsia="zh-CN"/>
        </w:rPr>
        <w:t>100分。</w:t>
      </w:r>
    </w:p>
    <w:p>
      <w:pPr>
        <w:adjustRightInd w:val="0"/>
        <w:snapToGrid w:val="0"/>
        <w:spacing w:line="600" w:lineRule="exact"/>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BDEA52"/>
    <w:multiLevelType w:val="singleLevel"/>
    <w:tmpl w:val="A7BDEA52"/>
    <w:lvl w:ilvl="0" w:tentative="0">
      <w:start w:val="2"/>
      <w:numFmt w:val="chineseCounting"/>
      <w:suff w:val="nothing"/>
      <w:lvlText w:val="（%1）"/>
      <w:lvlJc w:val="left"/>
      <w:rPr>
        <w:rFonts w:hint="eastAsia"/>
      </w:rPr>
    </w:lvl>
  </w:abstractNum>
  <w:abstractNum w:abstractNumId="1">
    <w:nsid w:val="E7CF8ABE"/>
    <w:multiLevelType w:val="singleLevel"/>
    <w:tmpl w:val="E7CF8ABE"/>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1ODk3MzI3MzMyNmJhMGE2MTAzMjRjYWU2YTY3NzgifQ=="/>
  </w:docVars>
  <w:rsids>
    <w:rsidRoot w:val="291C455A"/>
    <w:rsid w:val="001B1813"/>
    <w:rsid w:val="002A5E78"/>
    <w:rsid w:val="003315AE"/>
    <w:rsid w:val="0049716B"/>
    <w:rsid w:val="006F6CE7"/>
    <w:rsid w:val="00C073E9"/>
    <w:rsid w:val="00E42B1E"/>
    <w:rsid w:val="0D466608"/>
    <w:rsid w:val="0D850CC5"/>
    <w:rsid w:val="19B536B9"/>
    <w:rsid w:val="291C455A"/>
    <w:rsid w:val="2A502512"/>
    <w:rsid w:val="36926D0C"/>
    <w:rsid w:val="414A628B"/>
    <w:rsid w:val="43167409"/>
    <w:rsid w:val="4EEE086A"/>
    <w:rsid w:val="5BC778D1"/>
    <w:rsid w:val="673E27F9"/>
    <w:rsid w:val="6DBE33A8"/>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13</TotalTime>
  <ScaleCrop>false</ScaleCrop>
  <LinksUpToDate>false</LinksUpToDate>
  <CharactersWithSpaces>1342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2023-11-29T02:24:36Z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2295F6004E7C4908A6170C90E5C595B7</vt:lpwstr>
  </property>
</Properties>
</file>